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1"/>
        <w:numPr>
          <w:ilvl w:val="0"/>
          <w:numId w:val="0"/>
        </w:numPr>
        <w:ind w:left="0" w:hanging="0"/>
        <w:jc w:val="right"/>
        <w:outlineLvl w:val="1"/>
        <w:rPr>
          <w:rFonts w:ascii="Times New Roman" w:hAnsi="Times New Roman" w:cs="Times New Roman"/>
          <w:sz w:val="28"/>
          <w:szCs w:val="28"/>
        </w:rPr>
      </w:pPr>
      <w:r>
        <w:rPr>
          <w:rFonts w:cs="Times New Roman" w:ascii="Times New Roman" w:hAnsi="Times New Roman"/>
          <w:sz w:val="28"/>
          <w:szCs w:val="28"/>
        </w:rPr>
        <w:t>Приложение 2</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 государственной программе</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«Комплексное развитие сельских</w:t>
      </w:r>
    </w:p>
    <w:p>
      <w:pPr>
        <w:pStyle w:val="ConsPlusNormal1"/>
        <w:jc w:val="right"/>
        <w:rPr>
          <w:sz w:val="28"/>
          <w:szCs w:val="28"/>
        </w:rPr>
      </w:pPr>
      <w:r>
        <w:rPr>
          <w:rFonts w:cs="Times New Roman" w:ascii="Times New Roman" w:hAnsi="Times New Roman"/>
          <w:sz w:val="28"/>
          <w:szCs w:val="28"/>
        </w:rPr>
        <w:t>территорий Брянской области»</w:t>
      </w:r>
    </w:p>
    <w:p>
      <w:pPr>
        <w:pStyle w:val="ConsPlusNormal1"/>
        <w:jc w:val="both"/>
        <w:rPr/>
      </w:pPr>
      <w:r>
        <w:rPr/>
      </w:r>
    </w:p>
    <w:p>
      <w:pPr>
        <w:pStyle w:val="ConsPlusTitle"/>
        <w:tabs>
          <w:tab w:val="clear" w:pos="708"/>
          <w:tab w:val="left" w:pos="2834" w:leader="none"/>
          <w:tab w:val="center" w:pos="4677" w:leader="none"/>
        </w:tabs>
        <w:rPr>
          <w:rFonts w:ascii="Times New Roman" w:hAnsi="Times New Roman" w:cs="Times New Roman"/>
          <w:b w:val="false"/>
          <w:b w:val="false"/>
          <w:sz w:val="28"/>
          <w:szCs w:val="28"/>
        </w:rPr>
      </w:pPr>
      <w:r>
        <w:rPr>
          <w:rFonts w:cs="Times New Roman" w:ascii="Times New Roman" w:hAnsi="Times New Roman"/>
          <w:b w:val="false"/>
          <w:sz w:val="28"/>
          <w:szCs w:val="28"/>
        </w:rPr>
        <w:tab/>
        <w:tab/>
        <w:t>Порядок</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предоставления субсидий на оказание финансовой поддержки</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при исполнении расходных обязательств муниципальных</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образований по строительству жилого помещения (жилого дома),</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предоставляемого гражданам Российской Федерации, проживающим</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8"/>
          <w:szCs w:val="28"/>
        </w:rPr>
        <w:t>на сельских территориях, по договору найма жилого помещения в рамках региональ</w:t>
      </w:r>
      <w:bookmarkStart w:id="0" w:name="_GoBack"/>
      <w:bookmarkEnd w:id="0"/>
      <w:r>
        <w:rPr>
          <w:rFonts w:cs="Times New Roman" w:ascii="Times New Roman" w:hAnsi="Times New Roman"/>
          <w:b w:val="false"/>
          <w:sz w:val="28"/>
          <w:szCs w:val="28"/>
        </w:rPr>
        <w:t>ного проекта «Развитие жилищного строительства на сельских территориях и повышение уровня благоустройства домовладений» подпрограммы «Создание условий для обеспечения доступным и комфортным жильем сельского населения» государственной программы «Комплексное развитие сельских территорий Брянской области»</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 Настоящий Порядок устанавливает цели, порядок и условия предоставления субсидий на оказание финансовой поддержки при исполнении расходных обязательств муниципальных образований по строительству жилья, в том числе участию в долевом строительстве жилых домов (квартир) на сельских территориях и (или) участию на основании договора инвестирования в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(далее - граждане, субсидии соответственно), критерии отбора муниципальных образований для предоставления субсидий, критерии оценки эффективности использования муниципальными образованиями предоставляемых субсидий.</w:t>
      </w:r>
    </w:p>
    <w:p>
      <w:pPr>
        <w:pStyle w:val="ConsPlusNormal1"/>
        <w:ind w:firstLine="540"/>
        <w:jc w:val="both"/>
        <w:rPr>
          <w:rFonts w:ascii="Times New Roman" w:hAnsi="Times New Roman" w:cs="Times New Roman"/>
          <w:sz w:val="28"/>
          <w:szCs w:val="28"/>
        </w:rPr>
      </w:pPr>
      <w:bookmarkStart w:id="1" w:name="P2562"/>
      <w:bookmarkEnd w:id="1"/>
      <w:r>
        <w:rPr>
          <w:rFonts w:cs="Times New Roman" w:ascii="Times New Roman" w:hAnsi="Times New Roman"/>
          <w:sz w:val="28"/>
          <w:szCs w:val="28"/>
        </w:rPr>
        <w:t xml:space="preserve">2. Граждане, при соблюдении условий и требований, установленных </w:t>
      </w:r>
      <w:hyperlink r:id="rId2">
        <w:r>
          <w:rPr>
            <w:rFonts w:cs="Times New Roman" w:ascii="Times New Roman" w:hAnsi="Times New Roman"/>
            <w:color w:val="000000" w:themeColor="text1"/>
            <w:sz w:val="28"/>
            <w:szCs w:val="28"/>
          </w:rPr>
          <w:t>разделом II</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Положения о предоставлении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(далее - Положение) государственной программы Российской Федерации «Комплексное развитие сельских территорий», утвержденной Постановлением Правительством Российской Федерации от 31 мая 2019 года № 696, имеют право на обеспечение жильем по договорам найма жилых помещений.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Строительство жилья, в том числе участие в долевом строительстве жилых (домов) квартир и (или) участие на основании договора инвестирования в строительство жилого помещения (жилого дома), на сельских территориях, предоставляемого по договору найма жилого помещения, осуществляется за счет средств федерального бюджета, бюджета субъекта Российской Федерации, местных бюджетов, а также за счет обязательного вклада работодателя в различных формах, в том числе денежных средств, трудового участия и предоставления технических средств.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Доля средств работодателя и муниципального образования составляет не менее 20 процентов расчетной стоимости строительства жилья.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Органом, уполномоченным на организацию работы по предоставлению и распределению субсидий, является департамент сельского хозяйства Брянской области (далее - департамент).</w:t>
      </w:r>
    </w:p>
    <w:p>
      <w:pPr>
        <w:pStyle w:val="ConsPlusNormal1"/>
        <w:ind w:firstLine="540"/>
        <w:jc w:val="both"/>
        <w:rPr>
          <w:rFonts w:ascii="Times New Roman" w:hAnsi="Times New Roman" w:cs="Times New Roman"/>
          <w:sz w:val="28"/>
          <w:szCs w:val="28"/>
        </w:rPr>
      </w:pPr>
      <w:bookmarkStart w:id="2" w:name="P2567"/>
      <w:bookmarkEnd w:id="2"/>
      <w:r>
        <w:rPr>
          <w:rFonts w:cs="Times New Roman" w:ascii="Times New Roman" w:hAnsi="Times New Roman"/>
          <w:sz w:val="28"/>
          <w:szCs w:val="28"/>
        </w:rPr>
        <w:t>3. Субсидии предоставляются на оказание финансовой поддержки при исполнении расходных обязательств муниципальных образований по строительству жилья на сельских территориях, предоставляемого гражданам, по договору найма жилого помещения.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4. Субсидия предоставляется бюджету муниципального образования на следующих условиях:</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 наличие муниципальной программы, предусматривающей мероприятия, указанные в пункте 3 настоящего Порядка;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б) наличие в бюджете муниципального образования ассигнований на исполнение в соответствующем финансовом году расходных обязательств, связанных с реализацией мероприятий, указанных </w:t>
      </w:r>
      <w:r>
        <w:rPr>
          <w:rFonts w:cs="Times New Roman" w:ascii="Times New Roman" w:hAnsi="Times New Roman"/>
          <w:color w:val="000000" w:themeColor="text1"/>
          <w:sz w:val="28"/>
          <w:szCs w:val="28"/>
        </w:rPr>
        <w:t xml:space="preserve">в </w:t>
      </w:r>
      <w:hyperlink w:anchor="P2567">
        <w:r>
          <w:rPr>
            <w:rFonts w:cs="Times New Roman" w:ascii="Times New Roman" w:hAnsi="Times New Roman"/>
            <w:color w:val="000000" w:themeColor="text1"/>
            <w:sz w:val="28"/>
            <w:szCs w:val="28"/>
          </w:rPr>
          <w:t>пункте 3</w:t>
        </w:r>
      </w:hyperlink>
      <w:r>
        <w:rPr>
          <w:rFonts w:cs="Times New Roman" w:ascii="Times New Roman" w:hAnsi="Times New Roman"/>
          <w:sz w:val="28"/>
          <w:szCs w:val="28"/>
        </w:rPr>
        <w:t xml:space="preserve"> настоящего Порядка, в размере не менее размера, необходимого для обеспечения уровня софинансирования расходного обязательства муниципального образования, с учетом </w:t>
      </w:r>
      <w:r>
        <w:rPr>
          <w:rFonts w:cs="Times New Roman" w:ascii="Times New Roman" w:hAnsi="Times New Roman"/>
          <w:color w:val="000000" w:themeColor="text1"/>
          <w:sz w:val="28"/>
          <w:szCs w:val="28"/>
        </w:rPr>
        <w:t xml:space="preserve">предельного </w:t>
      </w:r>
      <w:hyperlink r:id="rId3">
        <w:r>
          <w:rPr>
            <w:rFonts w:cs="Times New Roman" w:ascii="Times New Roman" w:hAnsi="Times New Roman"/>
            <w:color w:val="000000" w:themeColor="text1"/>
            <w:sz w:val="28"/>
            <w:szCs w:val="28"/>
          </w:rPr>
          <w:t>уровня</w:t>
        </w:r>
      </w:hyperlink>
      <w:r>
        <w:rPr>
          <w:rFonts w:cs="Times New Roman" w:ascii="Times New Roman" w:hAnsi="Times New Roman"/>
          <w:sz w:val="28"/>
          <w:szCs w:val="28"/>
        </w:rPr>
        <w:t xml:space="preserve"> софинансирования расходных обязательств муниципальных образований из областного бюджета, утвержденного Постановлением Правительства Брянской области </w:t>
      </w:r>
      <w:r>
        <w:rPr>
          <w:rFonts w:eastAsia="Calibri" w:cs="Times New Roman" w:ascii="Times New Roman" w:hAnsi="Times New Roman" w:eastAsiaTheme="minorHAnsi"/>
          <w:sz w:val="28"/>
          <w:szCs w:val="28"/>
          <w:lang w:eastAsia="en-US"/>
        </w:rPr>
        <w:t>на очередной финансовый год и плановый период</w:t>
      </w:r>
      <w:r>
        <w:rPr>
          <w:rFonts w:cs="Times New Roman" w:ascii="Times New Roman" w:hAnsi="Times New Roman"/>
          <w:sz w:val="28"/>
          <w:szCs w:val="28"/>
        </w:rPr>
        <w:t>;</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привлечение муниципальным образованием в объемах, необходимых для выполнения показателей результативности предоставления субсидии, средств работодателей;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г) наличие </w:t>
      </w:r>
      <w:hyperlink w:anchor="P2656">
        <w:r>
          <w:rPr>
            <w:rFonts w:cs="Times New Roman" w:ascii="Times New Roman" w:hAnsi="Times New Roman"/>
            <w:color w:val="000000" w:themeColor="text1"/>
            <w:sz w:val="28"/>
            <w:szCs w:val="28"/>
          </w:rPr>
          <w:t>заявления</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гражданина по форме согласно приложению 1 к настоящему Порядку;</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д) наличие документов гражданина, заверенных в установленном законодательством Российской Федерации порядке;</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е) наличие предварительных </w:t>
      </w:r>
      <w:hyperlink w:anchor="P2741">
        <w:r>
          <w:rPr>
            <w:rFonts w:cs="Times New Roman" w:ascii="Times New Roman" w:hAnsi="Times New Roman"/>
            <w:color w:val="000000" w:themeColor="text1"/>
            <w:sz w:val="28"/>
            <w:szCs w:val="28"/>
          </w:rPr>
          <w:t>списков</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участников мероприятий - получателей жилья по договору найма жилого помещения на очередной финансовый год и на плановый период (далее - предварительный список участников мероприятий - получателей жилья по договору найма жилого помещения) по форме согласно приложению 2 к настоящему Порядку, и (или) подтвержденного работодателем и согласованного органом местного самоуправления перечня планируемых к созданию новых штатных единиц, на замещение которых в соответствующем финансовом периоде работодателем будут привлечены граждане - получатели жилья по договорам найма жилых помещений (далее - перечень штатных единиц, штатные единицы соответственно);</w:t>
      </w:r>
    </w:p>
    <w:p>
      <w:pPr>
        <w:pStyle w:val="ConsPlusNormal1"/>
        <w:ind w:firstLine="540"/>
        <w:jc w:val="both"/>
        <w:rPr>
          <w:rFonts w:ascii="Times New Roman" w:hAnsi="Times New Roman" w:cs="Times New Roman"/>
          <w:color w:val="000000" w:themeColor="text1"/>
          <w:sz w:val="28"/>
          <w:szCs w:val="28"/>
        </w:rPr>
      </w:pPr>
      <w:r>
        <w:rPr>
          <w:rFonts w:cs="Times New Roman" w:ascii="Times New Roman" w:hAnsi="Times New Roman"/>
          <w:sz w:val="28"/>
          <w:szCs w:val="28"/>
        </w:rPr>
        <w:t xml:space="preserve">ж) заключение соглашения между департаментом и муниципальным образованием о предоставлении субсидии (далее - соглашение), заключенного с учетом требований, установленных </w:t>
      </w:r>
      <w:hyperlink r:id="rId4">
        <w:r>
          <w:rPr>
            <w:rFonts w:cs="Times New Roman" w:ascii="Times New Roman" w:hAnsi="Times New Roman"/>
            <w:color w:val="000000" w:themeColor="text1"/>
            <w:sz w:val="28"/>
            <w:szCs w:val="28"/>
          </w:rPr>
          <w:t>Постановлением</w:t>
        </w:r>
      </w:hyperlink>
      <w:r>
        <w:rPr>
          <w:rFonts w:cs="Times New Roman" w:ascii="Times New Roman" w:hAnsi="Times New Roman"/>
          <w:color w:val="000000" w:themeColor="text1"/>
          <w:sz w:val="28"/>
          <w:szCs w:val="28"/>
        </w:rPr>
        <w:t xml:space="preserve">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5. Органы местного самоуправления муниципального образования в сроки, установленные Министерством сельского хозяйства Российской Федерации, по запросу департамента в год, предшествующий году реализации мероприятий, указанных </w:t>
      </w:r>
      <w:r>
        <w:rPr>
          <w:rFonts w:cs="Times New Roman" w:ascii="Times New Roman" w:hAnsi="Times New Roman"/>
          <w:color w:val="000000" w:themeColor="text1"/>
          <w:sz w:val="28"/>
          <w:szCs w:val="28"/>
        </w:rPr>
        <w:t xml:space="preserve">в </w:t>
      </w:r>
      <w:hyperlink w:anchor="P2562">
        <w:r>
          <w:rPr>
            <w:rFonts w:cs="Times New Roman" w:ascii="Times New Roman" w:hAnsi="Times New Roman"/>
            <w:color w:val="000000" w:themeColor="text1"/>
            <w:sz w:val="28"/>
            <w:szCs w:val="28"/>
          </w:rPr>
          <w:t>пункте 2</w:t>
        </w:r>
      </w:hyperlink>
      <w:r>
        <w:rPr>
          <w:rFonts w:cs="Times New Roman" w:ascii="Times New Roman" w:hAnsi="Times New Roman"/>
          <w:sz w:val="28"/>
          <w:szCs w:val="28"/>
        </w:rPr>
        <w:t xml:space="preserve"> настоящего Порядка, представляют в департамент: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копию муниципальной программы, предусматривающей мероприятия, указанные </w:t>
      </w:r>
      <w:r>
        <w:rPr>
          <w:rFonts w:cs="Times New Roman" w:ascii="Times New Roman" w:hAnsi="Times New Roman"/>
          <w:color w:val="000000" w:themeColor="text1"/>
          <w:sz w:val="28"/>
          <w:szCs w:val="28"/>
        </w:rPr>
        <w:t xml:space="preserve">в </w:t>
      </w:r>
      <w:hyperlink w:anchor="P2567">
        <w:r>
          <w:rPr>
            <w:rFonts w:cs="Times New Roman" w:ascii="Times New Roman" w:hAnsi="Times New Roman"/>
            <w:color w:val="000000" w:themeColor="text1"/>
            <w:sz w:val="28"/>
            <w:szCs w:val="28"/>
          </w:rPr>
          <w:t>пункте 3</w:t>
        </w:r>
      </w:hyperlink>
      <w:r>
        <w:rPr>
          <w:rFonts w:cs="Times New Roman" w:ascii="Times New Roman" w:hAnsi="Times New Roman"/>
          <w:sz w:val="28"/>
          <w:szCs w:val="28"/>
        </w:rPr>
        <w:t xml:space="preserve"> настоящего Порядка, разработанной в соответствии со схемами территориального планирования муниципальных образований и генеральными планами сельских поселений;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реестр планируемых к строительству жилых помещений, в том числе в рамках участия в долевом строительстве жилых домов (квартир) на сельских территориях и (или) участия на основании договора инвестирования в строительство жилого помещения (жилого дома) на сельских территориях, предоставляемых гражданам Российской Федерации, проживающим на сельских территориях, по договору найма жилого помещения, в целях строительства которых планируется предоставление субсидии, по форме, устанавливаемой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копии документов граждан, заверенных в установленном законодательством Российской Федерации порядке;</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документ, подтверждающий участие работодателя и муниципального образования в софинансировании строительства жилья для каждого гражданина;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предварительный список участников мероприятий - получателей жилья по договору найма жилого помещения, и (или) подтвержденный работодателем и согласованный органом местного самоуправления перечень штатных единиц;</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бюджетную </w:t>
      </w:r>
      <w:hyperlink w:anchor="P2918">
        <w:r>
          <w:rPr>
            <w:rFonts w:cs="Times New Roman" w:ascii="Times New Roman" w:hAnsi="Times New Roman"/>
            <w:color w:val="000000" w:themeColor="text1"/>
            <w:sz w:val="28"/>
            <w:szCs w:val="28"/>
          </w:rPr>
          <w:t>заявку</w:t>
        </w:r>
      </w:hyperlink>
      <w:r>
        <w:rPr>
          <w:rFonts w:cs="Times New Roman" w:ascii="Times New Roman" w:hAnsi="Times New Roman"/>
          <w:sz w:val="28"/>
          <w:szCs w:val="28"/>
        </w:rPr>
        <w:t xml:space="preserve"> на предоставление субсидий по форме согласно приложению 3 к настоящему Порядку.</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6. Граждане представляют в органы местного самоуправления муниципальных образований по месту постоянного жительства либо предполагаемого места постоянного жительства </w:t>
      </w:r>
      <w:hyperlink w:anchor="P2656">
        <w:r>
          <w:rPr>
            <w:rFonts w:cs="Times New Roman" w:ascii="Times New Roman" w:hAnsi="Times New Roman"/>
            <w:color w:val="000000" w:themeColor="text1"/>
            <w:sz w:val="28"/>
            <w:szCs w:val="28"/>
          </w:rPr>
          <w:t>заявление</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по форме согласно приложению 1 к настоящему Порядку с приложением копий документов, предусмотренных пунктом 8 Положения вместе с оригиналами для удостоверения их идентичности (о чем делается отметка лицом, осуществляющим прием документов) либо заверенные в установленном законодательством Российской Федерации порядке.</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7. Орган местного самоуправления муниципального образования: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осуществляет прием заявлений от граждан и их регистрацию в книге регистрации и учета;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создает рабочую группу либо комиссию по рассмотрению заявлений граждан (далее - рабочая группа (комиссия)).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Рабочая группа (комиссия):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течение 14 календарных дней с даты регистрации заявлений граждан в книге регистрации и учета проверяет правильность оформления документов, представленных гражданином, и достоверность содержащихся в них сведений.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 выявлении недостоверной информации, содержащейся в представленных документах, орган местного самоуправления в течение 30 календарных дней с даты регистрации заявления в книге регистрации и учета возвращает их гражданину с указанием причин возврата (с внесением соответствующей отметки в книгу регистрации и учета);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устанавливает соответствие требованиям пунктов 3, 4 Положения;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принимает решение о включении либо отказе во включении гражданина в предварительный список участников мероприятий - получателей жилья по договору найма жилого помещения;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формирует предварительный </w:t>
      </w:r>
      <w:hyperlink w:anchor="P2741">
        <w:r>
          <w:rPr>
            <w:rFonts w:cs="Times New Roman" w:ascii="Times New Roman" w:hAnsi="Times New Roman"/>
            <w:color w:val="000000" w:themeColor="text1"/>
            <w:sz w:val="28"/>
            <w:szCs w:val="28"/>
          </w:rPr>
          <w:t>список</w:t>
        </w:r>
      </w:hyperlink>
      <w:r>
        <w:rPr>
          <w:rFonts w:cs="Times New Roman" w:ascii="Times New Roman" w:hAnsi="Times New Roman"/>
          <w:sz w:val="28"/>
          <w:szCs w:val="28"/>
        </w:rPr>
        <w:t xml:space="preserve"> участников мероприятий - получателей жилья по договору найма жилого помещения по форме согласно приложению 2 к настоящему Порядку, в порядке очередности, предусмотренной пунктами 7 Положения;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направляет в департамент предварительный список участников мероприятий - получателей жилья по договору найма жилого помещения с приложением сведений о размерах средств местного бюджета и привлекаемых средств работодателя.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отказа во включении в предварительный список участников мероприятий - получателей жилья по договору найма жилого помещения, уведомляет гражданина с указанием причины отказа и возвращает документы гражданину в течение 5 календарных дней со дня принятия решения.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Основаниями для отказа во включении в предварительный список участников мероприятий - получателей жилья по договору найма жилого помещения являются: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представление гражданином не в полном объеме документов, предусмотренных пунктом 8 Положения;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несоответствие гражданина условиям, предусмотренным пунктами 3, 4 Положения;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недостоверность сведений, содержащихся в представленных документах;</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ранее реализованное право на улучшение жилищных условий на сельских территориях с использованием государственной поддержки за счет средств федерального бюджета, бюджета субъекта Российской Федерации и местных бюджетов.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8. Повторное обращение гражданина с заявлением о включении в предварительный список участников мероприятий - получателей жилья по договору найма жилого помещения допускается после устранения причин, послуживших основанием для отказа.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этом случае органом местного самоуправления муниципальных образований при формировании предварительного списка участников мероприятий - получателей жилья по договору найма жилого помещения учитывается дата представления повторного заявления гражданином.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9. Ответственность за правильность оформления документов и достоверность содержащихся в них сведений, представленных гражданами возлагается на граждан и органы местного самоуправления муниципального образования.</w:t>
      </w:r>
    </w:p>
    <w:p>
      <w:pPr>
        <w:pStyle w:val="Normal"/>
        <w:spacing w:lineRule="auto" w:line="240" w:before="0" w:after="0"/>
        <w:ind w:firstLine="703"/>
        <w:jc w:val="both"/>
        <w:rPr>
          <w:rFonts w:ascii="Times New Roman" w:hAnsi="Times New Roman" w:cs="Times New Roman"/>
          <w:sz w:val="28"/>
          <w:szCs w:val="28"/>
        </w:rPr>
      </w:pPr>
      <w:r>
        <w:rPr>
          <w:rFonts w:cs="Times New Roman" w:ascii="Times New Roman" w:hAnsi="Times New Roman"/>
          <w:sz w:val="28"/>
          <w:szCs w:val="28"/>
        </w:rPr>
        <w:t>10. Департамент принимает документы граждан, представленные органами местного самоуправления муниципальных образований, регистрирует их в журнале регистрации, формирует и утверждает сводные списки граждан - получателей жилья по договорам найма жилых помещений на соответствующий финансовый период (далее - сводный список участников мероприятий) и вместе с заявкой на предоставление субсидии на очередной финансовый год и плановый период (далее - заявка) направляет их в Министерство сельского хозяйства Российской Федерации в порядке и сроки, установленные Министерством сельского хозяйства Российской Федерации, а также уведомляет органы местного самоуправления о принятом решении для доведения до сведения граждан информации о включении их в сводный список участников мероприятий.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Рекомендуемые образцы сводного списка участников мероприятий и заявки размещаются на официальном сайте Министерства сельского хозяйства Российской Федерации в информационно-телекоммуникационной сети «Интернет».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11. Распределение субсидий бюджетам муниципальных образований утверждается нормативным правовым актом Правительства Брянской области после заключения между Министерством сельского хозяйства Российской Федерации и Правительством Брянской области соглашения о порядке и условиях предоставления субсидий из федерального бюджета бюджету Брянской области на реализацию мероприятий, указанных в </w:t>
      </w:r>
      <w:hyperlink w:anchor="P2567">
        <w:r>
          <w:rPr>
            <w:rFonts w:cs="Times New Roman" w:ascii="Times New Roman" w:hAnsi="Times New Roman"/>
            <w:color w:val="000000" w:themeColor="text1"/>
            <w:sz w:val="28"/>
            <w:szCs w:val="28"/>
          </w:rPr>
          <w:t>пункте 3</w:t>
        </w:r>
      </w:hyperlink>
      <w:r>
        <w:rPr>
          <w:rFonts w:cs="Times New Roman" w:ascii="Times New Roman" w:hAnsi="Times New Roman"/>
          <w:sz w:val="28"/>
          <w:szCs w:val="28"/>
        </w:rPr>
        <w:t xml:space="preserve"> настоящего Порядка, на соответствующий финансовый год и утверждения сводного списка участников мероприятий - получателей социальных выплат и получателей жилья по договору найма жилого помещения.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12. Критериями отбора муниципальных образований для предоставления субсидии являются: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наличие предварительного списка участников мероприятий - получателей жилья по договору найма жилого помещения на соответствующий финансовый год;</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наличие бюджетной </w:t>
      </w:r>
      <w:hyperlink w:anchor="P2918">
        <w:r>
          <w:rPr>
            <w:rFonts w:cs="Times New Roman" w:ascii="Times New Roman" w:hAnsi="Times New Roman"/>
            <w:color w:val="000000" w:themeColor="text1"/>
            <w:sz w:val="28"/>
            <w:szCs w:val="28"/>
          </w:rPr>
          <w:t>заявки</w:t>
        </w:r>
      </w:hyperlink>
      <w:r>
        <w:rPr>
          <w:rFonts w:cs="Times New Roman" w:ascii="Times New Roman" w:hAnsi="Times New Roman"/>
          <w:sz w:val="28"/>
          <w:szCs w:val="28"/>
        </w:rPr>
        <w:t xml:space="preserve"> муниципального образования по форме согласно приложению 3 к настоящему Порядку.</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Основанием для отказа в предоставлении субсидий является несоблюдение муниципальным образованием условий и критериев, установленных п. 4, 12 настоящего Порядка. Повторное обращение муниципального образования допускается после устранения причин, послуживших основанием для отказа.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13. Субсидии распределяются бюджетам муниципальных образований на соответствующий финансовый год исходя из методики распределения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14. Предоставление субсидий бюджетам муниципальных образований осуществляется на основании заключенных департаментом с органами местного самоуправления муниципальных образований соглашений.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15. Департамент как главный распорядитель средств областного бюджета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 установленных в областном бюджете на соответствующий финансовый год на реализацию данных мероприятий.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16. Субсидии перечисляются в установленном для исполнения областного бюджета порядке в бюджеты муниципальных образований на счета управления Федерального казначейства, открытые для кассового обслуживания исполнения бюджетов муниципальных образований.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17. Внесение изменений в распределение субсидий осуществляется в соответствии со </w:t>
      </w:r>
      <w:hyperlink r:id="rId5">
        <w:r>
          <w:rPr>
            <w:rFonts w:cs="Times New Roman" w:ascii="Times New Roman" w:hAnsi="Times New Roman"/>
            <w:color w:val="000000" w:themeColor="text1"/>
            <w:sz w:val="28"/>
            <w:szCs w:val="28"/>
          </w:rPr>
          <w:t>статьей 13</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Закона Брянской области от 2 ноября 2016 года       № 89-З «О межбюджетных отношениях в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18. Эффективность использования субсидий оценивается ежегодно на основе результатов использования субсидий - объема ввода жилья, предоставленного гражданам по договорам найма жилого помещения.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субсидий производится путем сравнения фактически достигнутых результатов использования субсидий за соответствующий год со значениями результатов использования субсидий, предусмотренными соглашениями.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19. Контроль за целевым использованием субсидий осуществляют департамент и органы местного самоуправления муниципальных образований.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pPr>
        <w:pStyle w:val="Normal"/>
        <w:spacing w:lineRule="auto" w:line="259" w:before="0" w:after="160"/>
        <w:rPr>
          <w:rFonts w:ascii="Times New Roman" w:hAnsi="Times New Roman" w:eastAsia="Times New Roman" w:cs="Times New Roman"/>
          <w:b/>
          <w:b/>
          <w:sz w:val="28"/>
          <w:szCs w:val="28"/>
        </w:rPr>
      </w:pPr>
      <w:r>
        <w:rPr>
          <w:rFonts w:eastAsia="Times New Roman" w:cs="Times New Roman" w:ascii="Times New Roman" w:hAnsi="Times New Roman"/>
          <w:b/>
          <w:sz w:val="28"/>
          <w:szCs w:val="28"/>
        </w:rPr>
      </w:r>
      <w:r>
        <w:br w:type="page"/>
      </w:r>
    </w:p>
    <w:p>
      <w:pPr>
        <w:pStyle w:val="ConsPlusTitle"/>
        <w:numPr>
          <w:ilvl w:val="0"/>
          <w:numId w:val="0"/>
        </w:numPr>
        <w:ind w:left="0" w:hanging="0"/>
        <w:jc w:val="center"/>
        <w:outlineLvl w:val="2"/>
        <w:rPr>
          <w:rFonts w:ascii="Times New Roman" w:hAnsi="Times New Roman" w:cs="Times New Roman"/>
          <w:sz w:val="28"/>
          <w:szCs w:val="28"/>
        </w:rPr>
      </w:pPr>
      <w:r>
        <w:rPr>
          <w:rFonts w:cs="Times New Roman" w:ascii="Times New Roman" w:hAnsi="Times New Roman"/>
          <w:sz w:val="28"/>
          <w:szCs w:val="28"/>
        </w:rPr>
        <w:t>Методика</w:t>
      </w:r>
    </w:p>
    <w:p>
      <w:pPr>
        <w:pStyle w:val="ConsPlusTitle"/>
        <w:jc w:val="center"/>
        <w:rPr>
          <w:rFonts w:ascii="Times New Roman" w:hAnsi="Times New Roman" w:cs="Times New Roman"/>
          <w:sz w:val="28"/>
          <w:szCs w:val="28"/>
        </w:rPr>
      </w:pPr>
      <w:r>
        <w:rPr>
          <w:rFonts w:cs="Times New Roman" w:ascii="Times New Roman" w:hAnsi="Times New Roman"/>
          <w:sz w:val="28"/>
          <w:szCs w:val="28"/>
        </w:rPr>
        <w:t>распределения субсидий на оказание финансовой поддержки</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при исполнении расходных обязательств муниципальных</w:t>
      </w:r>
    </w:p>
    <w:p>
      <w:pPr>
        <w:pStyle w:val="ConsPlusTitle"/>
        <w:jc w:val="center"/>
        <w:rPr>
          <w:rFonts w:ascii="Times New Roman" w:hAnsi="Times New Roman" w:cs="Times New Roman"/>
          <w:sz w:val="28"/>
          <w:szCs w:val="28"/>
        </w:rPr>
      </w:pPr>
      <w:r>
        <w:rPr>
          <w:rFonts w:cs="Times New Roman" w:ascii="Times New Roman" w:hAnsi="Times New Roman"/>
          <w:sz w:val="28"/>
          <w:szCs w:val="28"/>
        </w:rPr>
        <w:t>образований по строительству жилого помещения (жилого дома),</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предоставляемого гражданам Российской Федерации, проживающим</w:t>
      </w:r>
    </w:p>
    <w:p>
      <w:pPr>
        <w:pStyle w:val="ConsPlusTitle"/>
        <w:jc w:val="center"/>
        <w:rPr>
          <w:rFonts w:ascii="Times New Roman" w:hAnsi="Times New Roman" w:cs="Times New Roman"/>
          <w:sz w:val="28"/>
          <w:szCs w:val="28"/>
        </w:rPr>
      </w:pPr>
      <w:r>
        <w:rPr>
          <w:rFonts w:cs="Times New Roman" w:ascii="Times New Roman" w:hAnsi="Times New Roman"/>
          <w:sz w:val="28"/>
          <w:szCs w:val="28"/>
        </w:rPr>
        <w:t>на сельских территориях, по договору найма жилого помещения</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39"/>
        <w:jc w:val="both"/>
        <w:rPr>
          <w:rFonts w:ascii="Times New Roman" w:hAnsi="Times New Roman" w:cs="Times New Roman"/>
          <w:sz w:val="28"/>
          <w:szCs w:val="28"/>
        </w:rPr>
      </w:pPr>
      <w:r>
        <w:rPr>
          <w:rFonts w:cs="Times New Roman" w:ascii="Times New Roman" w:hAnsi="Times New Roman"/>
          <w:sz w:val="28"/>
          <w:szCs w:val="28"/>
        </w:rPr>
        <w:t xml:space="preserve">Субсидии распределяются бюджетам муниципальных образований исходя из численности граждан, в установленном порядке признанных участниками мероприятия, указанных в </w:t>
      </w:r>
      <w:hyperlink w:anchor="P2567">
        <w:r>
          <w:rPr>
            <w:rFonts w:cs="Times New Roman" w:ascii="Times New Roman" w:hAnsi="Times New Roman"/>
            <w:color w:val="000000" w:themeColor="text1"/>
            <w:sz w:val="28"/>
            <w:szCs w:val="28"/>
          </w:rPr>
          <w:t>пункте 3</w:t>
        </w:r>
      </w:hyperlink>
      <w:r>
        <w:rPr>
          <w:rFonts w:cs="Times New Roman" w:ascii="Times New Roman" w:hAnsi="Times New Roman"/>
          <w:color w:val="000000" w:themeColor="text1"/>
          <w:sz w:val="28"/>
          <w:szCs w:val="28"/>
        </w:rPr>
        <w:t xml:space="preserve"> </w:t>
      </w:r>
      <w:r>
        <w:rPr>
          <w:rFonts w:cs="Times New Roman" w:ascii="Times New Roman" w:hAnsi="Times New Roman"/>
          <w:sz w:val="28"/>
          <w:szCs w:val="28"/>
        </w:rPr>
        <w:t>настоящего Порядка, на текущий финансовый год.</w:t>
      </w:r>
    </w:p>
    <w:p>
      <w:pPr>
        <w:pStyle w:val="ConsPlusNormal1"/>
        <w:ind w:firstLine="539"/>
        <w:jc w:val="both"/>
        <w:rPr>
          <w:rFonts w:ascii="Times New Roman" w:hAnsi="Times New Roman" w:cs="Times New Roman"/>
          <w:sz w:val="28"/>
          <w:szCs w:val="28"/>
        </w:rPr>
      </w:pPr>
      <w:r>
        <w:rPr>
          <w:rFonts w:cs="Times New Roman" w:ascii="Times New Roman" w:hAnsi="Times New Roman"/>
          <w:sz w:val="28"/>
          <w:szCs w:val="28"/>
        </w:rPr>
        <w:t>Расчет размера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производится в соответствии с пунктами 6, 12 и 13 Положения.</w:t>
      </w:r>
    </w:p>
    <w:p>
      <w:pPr>
        <w:pStyle w:val="ConsPlusNormal1"/>
        <w:ind w:firstLine="539"/>
        <w:jc w:val="both"/>
        <w:rPr>
          <w:rFonts w:ascii="Times New Roman" w:hAnsi="Times New Roman" w:cs="Times New Roman"/>
          <w:sz w:val="28"/>
          <w:szCs w:val="28"/>
        </w:rPr>
      </w:pPr>
      <w:r>
        <w:rPr>
          <w:rFonts w:cs="Times New Roman" w:ascii="Times New Roman" w:hAnsi="Times New Roman"/>
          <w:sz w:val="28"/>
          <w:szCs w:val="28"/>
        </w:rPr>
        <w:t>Стоимость 1 квадратного метра общей площади жилья на сельских территориях Брянской области, используемая для расчета размера социальной выплаты, устанавливается нормативным правовым актом департамента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первый квартал очередного финансового года.</w:t>
      </w:r>
    </w:p>
    <w:p>
      <w:pPr>
        <w:pStyle w:val="ConsPlusNormal1"/>
        <w:ind w:firstLine="539"/>
        <w:jc w:val="both"/>
        <w:rPr>
          <w:rFonts w:ascii="Times New Roman" w:hAnsi="Times New Roman" w:cs="Times New Roman"/>
          <w:sz w:val="28"/>
          <w:szCs w:val="28"/>
        </w:rPr>
      </w:pPr>
      <w:r>
        <w:rPr>
          <w:rFonts w:cs="Times New Roman" w:ascii="Times New Roman" w:hAnsi="Times New Roman"/>
          <w:sz w:val="28"/>
          <w:szCs w:val="28"/>
        </w:rPr>
        <w:t>При отклонении уровня софинансирования расходного обязательства субъекта за счет субсидий из федерального бюджета бюджету субъекта от уровня, утвержденного Правительством Российской Федерации, размер уровня софинансирования из консолидированного бюджета области утверждается распоряжением Правительства Брянской области исходя из доведенных лимитов федерального бюджета.</w:t>
      </w:r>
    </w:p>
    <w:p>
      <w:pPr>
        <w:pStyle w:val="Normal"/>
        <w:rPr/>
      </w:pPr>
      <w:r>
        <w:rPr/>
      </w:r>
      <w:r>
        <w:br w:type="page"/>
      </w:r>
    </w:p>
    <w:tbl>
      <w:tblPr>
        <w:tblStyle w:val="a3"/>
        <w:tblW w:w="7222" w:type="dxa"/>
        <w:jc w:val="left"/>
        <w:tblInd w:w="2122" w:type="dxa"/>
        <w:tblLayout w:type="fixed"/>
        <w:tblCellMar>
          <w:top w:w="0" w:type="dxa"/>
          <w:left w:w="108" w:type="dxa"/>
          <w:bottom w:w="0" w:type="dxa"/>
          <w:right w:w="108" w:type="dxa"/>
        </w:tblCellMar>
        <w:tblLook w:firstRow="1" w:noVBand="1" w:lastRow="0" w:firstColumn="1" w:lastColumn="0" w:noHBand="0" w:val="04a0"/>
      </w:tblPr>
      <w:tblGrid>
        <w:gridCol w:w="7222"/>
      </w:tblGrid>
      <w:tr>
        <w:trPr>
          <w:trHeight w:val="1692" w:hRule="atLeast"/>
        </w:trPr>
        <w:tc>
          <w:tcPr>
            <w:tcW w:w="7222" w:type="dxa"/>
            <w:tcBorders>
              <w:top w:val="nil"/>
              <w:left w:val="nil"/>
              <w:bottom w:val="nil"/>
              <w:right w:val="nil"/>
            </w:tcBorders>
          </w:tcPr>
          <w:p>
            <w:pPr>
              <w:pStyle w:val="ConsPlusNormal1"/>
              <w:pageBreakBefore/>
              <w:widowControl w:val="false"/>
              <w:numPr>
                <w:ilvl w:val="0"/>
                <w:numId w:val="0"/>
              </w:numPr>
              <w:suppressAutoHyphens w:val="true"/>
              <w:spacing w:before="0" w:after="0"/>
              <w:ind w:left="0" w:hanging="0"/>
              <w:jc w:val="right"/>
              <w:outlineLvl w:val="2"/>
              <w:rPr>
                <w:rFonts w:ascii="Times New Roman" w:hAnsi="Times New Roman" w:cs="Times New Roman"/>
                <w:sz w:val="28"/>
                <w:szCs w:val="28"/>
              </w:rPr>
            </w:pPr>
            <w:r>
              <w:rPr>
                <w:rFonts w:cs="Times New Roman" w:ascii="Times New Roman" w:hAnsi="Times New Roman"/>
                <w:kern w:val="0"/>
                <w:sz w:val="28"/>
                <w:szCs w:val="28"/>
                <w:lang w:val="ru-RU" w:bidi="ar-SA"/>
              </w:rPr>
              <w:t>Приложение 1</w:t>
            </w:r>
          </w:p>
          <w:p>
            <w:pPr>
              <w:pStyle w:val="ConsPlusNormal1"/>
              <w:widowControl w:val="false"/>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8"/>
                <w:szCs w:val="28"/>
                <w:lang w:val="ru-RU" w:bidi="ar-SA"/>
              </w:rPr>
              <w:t>к Порядку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4"/>
          <w:szCs w:val="24"/>
        </w:rPr>
      </w:pPr>
      <w:r>
        <w:rPr>
          <w:rFonts w:cs="Times New Roman" w:ascii="Times New Roman" w:hAnsi="Times New Roman"/>
          <w:sz w:val="28"/>
          <w:szCs w:val="28"/>
        </w:rPr>
        <w:t xml:space="preserve">                              </w:t>
      </w:r>
      <w:r>
        <w:rPr>
          <w:rFonts w:cs="Times New Roman" w:ascii="Times New Roman" w:hAnsi="Times New Roman"/>
          <w:sz w:val="24"/>
          <w:szCs w:val="24"/>
        </w:rPr>
        <w:t>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органа местного самоуправления)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 гражданина(ки) 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проживающего(ей) по адресу:</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bookmarkStart w:id="3" w:name="P2656"/>
      <w:bookmarkEnd w:id="3"/>
      <w:r>
        <w:rPr>
          <w:rFonts w:cs="Times New Roman" w:ascii="Times New Roman" w:hAnsi="Times New Roman"/>
          <w:sz w:val="24"/>
          <w:szCs w:val="24"/>
        </w:rPr>
        <w:t xml:space="preserve">                                 </w:t>
      </w:r>
      <w:r>
        <w:rPr>
          <w:rFonts w:cs="Times New Roman" w:ascii="Times New Roman" w:hAnsi="Times New Roman"/>
          <w:sz w:val="24"/>
          <w:szCs w:val="24"/>
        </w:rPr>
        <w:t>ЗАЯВЛЕНИЕ</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Прошу включить меня,                                                      ,</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паспорт ___________________ выданный 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(серия, номер)                      (кем, когда выдан)</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в  состав  участников  мероприятий  по  улучшению жилищных условий граждан,</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проживающих  на  сельских  территориях  в  рамках государственной программы</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Российской Федерации "Комплексное развитие сельских территорий"</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Жилищные условия планирую улучшить путем строительства жилого помещения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(жилого дома), предоставляемого гражданам Российской Федерации, проживающим</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на сельских территориях, по договору найма жилого помещения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в 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муниципального образования, в котором гражданин желает</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приобрести (построить) жилое помещение)</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Состав семьи: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жена (муж) 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проживает по адресу: 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дети: 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проживает по адресу: 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проживает по адресу: 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проживает по адресу: 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Кроме того, со мной постоянно проживают в качестве членов семьи: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(дата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  условиями  участия  в  мероприятиях  по  улучшению  жилищных условий</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граждан,  проживающих  на  сельских  территориях  в  рамках государственной</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программы  Российской  Федерации "Комплексное развитие сельских территорий"</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ознакомлен и обязуюсь их выполнять.</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заявителя)         (подпись заявителя)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Совершеннолетние члены семьи: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1)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подпись)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2)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подпись)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3)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подпись)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4)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(ф.и.о., подпись)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К заявлению прилагаются следующие документы:</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1)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документа и его реквизиты)</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2)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документа и его реквизиты)</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3)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документа и его реквизиты)</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4) _______________________________________________________________________;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документа и его реквизиты)</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5) _______________________________________________________________________.</w:t>
      </w:r>
    </w:p>
    <w:p>
      <w:pPr>
        <w:sectPr>
          <w:type w:val="nextPage"/>
          <w:pgSz w:w="11906" w:h="16838"/>
          <w:pgMar w:left="1701" w:right="850" w:header="0" w:top="1134" w:footer="0" w:bottom="1134" w:gutter="0"/>
          <w:pgNumType w:fmt="decimal"/>
          <w:formProt w:val="false"/>
          <w:textDirection w:val="lrTb"/>
          <w:docGrid w:type="default" w:linePitch="100" w:charSpace="4096"/>
        </w:sect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(наименование документа и его реквизиты)</w:t>
      </w:r>
    </w:p>
    <w:tbl>
      <w:tblPr>
        <w:tblStyle w:val="a3"/>
        <w:tblW w:w="8080" w:type="dxa"/>
        <w:jc w:val="left"/>
        <w:tblInd w:w="6516" w:type="dxa"/>
        <w:tblLayout w:type="fixed"/>
        <w:tblCellMar>
          <w:top w:w="0" w:type="dxa"/>
          <w:left w:w="108" w:type="dxa"/>
          <w:bottom w:w="0" w:type="dxa"/>
          <w:right w:w="108" w:type="dxa"/>
        </w:tblCellMar>
        <w:tblLook w:firstRow="1" w:noVBand="1" w:lastRow="0" w:firstColumn="1" w:lastColumn="0" w:noHBand="0" w:val="04a0"/>
      </w:tblPr>
      <w:tblGrid>
        <w:gridCol w:w="8080"/>
      </w:tblGrid>
      <w:tr>
        <w:trPr>
          <w:trHeight w:val="1832" w:hRule="atLeast"/>
        </w:trPr>
        <w:tc>
          <w:tcPr>
            <w:tcW w:w="8080" w:type="dxa"/>
            <w:tcBorders>
              <w:top w:val="nil"/>
              <w:left w:val="nil"/>
              <w:bottom w:val="nil"/>
              <w:right w:val="nil"/>
            </w:tcBorders>
          </w:tcPr>
          <w:p>
            <w:pPr>
              <w:pStyle w:val="ConsPlusNormal1"/>
              <w:widowControl w:val="false"/>
              <w:numPr>
                <w:ilvl w:val="0"/>
                <w:numId w:val="0"/>
              </w:numPr>
              <w:suppressAutoHyphens w:val="true"/>
              <w:spacing w:before="0" w:after="0"/>
              <w:ind w:left="0" w:hanging="0"/>
              <w:jc w:val="right"/>
              <w:outlineLvl w:val="2"/>
              <w:rPr>
                <w:rFonts w:ascii="Times New Roman" w:hAnsi="Times New Roman" w:cs="Times New Roman"/>
                <w:sz w:val="28"/>
                <w:szCs w:val="28"/>
              </w:rPr>
            </w:pPr>
            <w:r>
              <w:rPr>
                <w:rFonts w:cs="Times New Roman" w:ascii="Times New Roman" w:hAnsi="Times New Roman"/>
                <w:kern w:val="0"/>
                <w:sz w:val="28"/>
                <w:szCs w:val="28"/>
                <w:lang w:val="ru-RU" w:bidi="ar-SA"/>
              </w:rPr>
              <w:t>Приложение 2</w:t>
            </w:r>
          </w:p>
          <w:p>
            <w:pPr>
              <w:pStyle w:val="ConsPlusNormal1"/>
              <w:widowControl w:val="false"/>
              <w:suppressAutoHyphens w:val="true"/>
              <w:spacing w:before="0" w:after="0"/>
              <w:jc w:val="both"/>
              <w:rPr>
                <w:rFonts w:ascii="Times New Roman" w:hAnsi="Times New Roman" w:cs="Times New Roman"/>
                <w:sz w:val="28"/>
                <w:szCs w:val="28"/>
              </w:rPr>
            </w:pPr>
            <w:r>
              <w:rPr>
                <w:rFonts w:cs="Times New Roman" w:ascii="Times New Roman" w:hAnsi="Times New Roman"/>
                <w:kern w:val="0"/>
                <w:sz w:val="28"/>
                <w:szCs w:val="28"/>
                <w:lang w:val="ru-RU" w:bidi="ar-SA"/>
              </w:rPr>
              <w:t>к Порядку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bookmarkStart w:id="4" w:name="P2741"/>
      <w:bookmarkEnd w:id="4"/>
      <w:r>
        <w:rPr>
          <w:rFonts w:cs="Times New Roman" w:ascii="Times New Roman" w:hAnsi="Times New Roman"/>
          <w:sz w:val="28"/>
          <w:szCs w:val="28"/>
        </w:rPr>
        <w:t>Предварительный список граждан, участников</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мероприятий - получателей жилья</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по договору найма жилого помещения</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по __________________________________________</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(наименование муниципального образования)</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Брянской области на 20__ год</w:t>
      </w:r>
    </w:p>
    <w:tbl>
      <w:tblPr>
        <w:tblW w:w="14596"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452"/>
        <w:gridCol w:w="921"/>
        <w:gridCol w:w="1219"/>
        <w:gridCol w:w="1489"/>
        <w:gridCol w:w="1077"/>
        <w:gridCol w:w="1023"/>
        <w:gridCol w:w="1235"/>
        <w:gridCol w:w="664"/>
        <w:gridCol w:w="1503"/>
        <w:gridCol w:w="1264"/>
        <w:gridCol w:w="1054"/>
        <w:gridCol w:w="2694"/>
      </w:tblGrid>
      <w:tr>
        <w:trPr/>
        <w:tc>
          <w:tcPr>
            <w:tcW w:w="452"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N п/п</w:t>
            </w:r>
          </w:p>
        </w:tc>
        <w:tc>
          <w:tcPr>
            <w:tcW w:w="921"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Ф.И.О.</w:t>
            </w:r>
          </w:p>
        </w:tc>
        <w:tc>
          <w:tcPr>
            <w:tcW w:w="1219"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Место работы (учебы), должность</w:t>
            </w:r>
          </w:p>
        </w:tc>
        <w:tc>
          <w:tcPr>
            <w:tcW w:w="1489"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Сфера занятости (АПК, социальная сфера, ветеринария)</w:t>
            </w:r>
          </w:p>
        </w:tc>
        <w:tc>
          <w:tcPr>
            <w:tcW w:w="1077"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Количественный состав семьи, чел.</w:t>
            </w:r>
          </w:p>
        </w:tc>
        <w:tc>
          <w:tcPr>
            <w:tcW w:w="1023"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Размер общей площади жилья, кв. м</w:t>
            </w:r>
          </w:p>
        </w:tc>
        <w:tc>
          <w:tcPr>
            <w:tcW w:w="1235"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Стоимость 1 кв. м общей площади жилья, рублей</w:t>
            </w:r>
          </w:p>
        </w:tc>
        <w:tc>
          <w:tcPr>
            <w:tcW w:w="7179" w:type="dxa"/>
            <w:gridSpan w:val="5"/>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Стоимость строительства (приобретения) жилья, тыс. руб.</w:t>
            </w:r>
          </w:p>
        </w:tc>
      </w:tr>
      <w:tr>
        <w:trPr/>
        <w:tc>
          <w:tcPr>
            <w:tcW w:w="4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92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21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48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0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02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2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664"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всего</w:t>
            </w:r>
          </w:p>
        </w:tc>
        <w:tc>
          <w:tcPr>
            <w:tcW w:w="6515" w:type="dxa"/>
            <w:gridSpan w:val="4"/>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 том числе средства</w:t>
            </w:r>
          </w:p>
        </w:tc>
      </w:tr>
      <w:tr>
        <w:trPr/>
        <w:tc>
          <w:tcPr>
            <w:tcW w:w="4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92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21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48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0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02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2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6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федерального бюджета</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областного бюджета</w:t>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местного бюджета</w:t>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внебюджетных источников</w:t>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3</w:t>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4</w:t>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5</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6</w:t>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7</w:t>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9</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10</w:t>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11</w:t>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12</w:t>
            </w:r>
          </w:p>
        </w:tc>
      </w:tr>
      <w:tr>
        <w:trPr/>
        <w:tc>
          <w:tcPr>
            <w:tcW w:w="14595" w:type="dxa"/>
            <w:gridSpan w:val="1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(наименование района)</w:t>
            </w:r>
          </w:p>
        </w:tc>
      </w:tr>
      <w:tr>
        <w:trPr/>
        <w:tc>
          <w:tcPr>
            <w:tcW w:w="14595" w:type="dxa"/>
            <w:gridSpan w:val="1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(наименование поселения)</w:t>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1-я очередь</w:t>
            </w:r>
          </w:p>
        </w:tc>
        <w:tc>
          <w:tcPr>
            <w:tcW w:w="13222" w:type="dxa"/>
            <w:gridSpan w:val="10"/>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строительства жилого дома или участия в долевом строительстве жилых домов (квартир)</w:t>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2-я очередь</w:t>
            </w:r>
          </w:p>
        </w:tc>
        <w:tc>
          <w:tcPr>
            <w:tcW w:w="13222" w:type="dxa"/>
            <w:gridSpan w:val="10"/>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строительства жилого дома или участия в долевом строительстве жилых домов (квартир)</w:t>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3-я очередь</w:t>
            </w:r>
          </w:p>
        </w:tc>
        <w:tc>
          <w:tcPr>
            <w:tcW w:w="13222" w:type="dxa"/>
            <w:gridSpan w:val="10"/>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Граждане, работающие по трудовым договорам или осуществляющие индивидуальную предпринимательскую деятельность в сфере агропромышленного комплекса на сельских территориях, а также работающие в организациях, осуществляющих ветеринарную деятельность для сельскохозяйственных животных, изъявившие желание улучшить жилищные условия путем приобретения жилых помещений</w:t>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4-я очередь</w:t>
            </w:r>
          </w:p>
        </w:tc>
        <w:tc>
          <w:tcPr>
            <w:tcW w:w="13222" w:type="dxa"/>
            <w:gridSpan w:val="10"/>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Граждане, работающие по трудовым договорам или осуществляющие индивидуальную предпринимательскую деятельность в социальной сфере на сельских территориях, изъявившие желание улучшить жилищные условия путем приобретения жилых помещений</w:t>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r>
        <w:trPr/>
        <w:tc>
          <w:tcPr>
            <w:tcW w:w="452"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92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t>Всего</w:t>
            </w:r>
          </w:p>
        </w:tc>
        <w:tc>
          <w:tcPr>
            <w:tcW w:w="121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48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7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2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3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6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5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05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69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Глава администрации ____________ района</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М.П.________________ 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(подпись)      (Ф.И.О.)</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 ______________ 20___ года</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Исполнитель: Ф.И.О., должность, телефон</w:t>
      </w:r>
    </w:p>
    <w:p>
      <w:pPr>
        <w:sectPr>
          <w:type w:val="nextPage"/>
          <w:pgSz w:orient="landscape" w:w="16838" w:h="11906"/>
          <w:pgMar w:left="1134" w:right="1134" w:header="0" w:top="1276" w:footer="0" w:bottom="850" w:gutter="0"/>
          <w:pgNumType w:fmt="decimal"/>
          <w:formProt w:val="false"/>
          <w:textDirection w:val="lrTb"/>
          <w:docGrid w:type="default" w:linePitch="100" w:charSpace="4096"/>
        </w:sectPr>
        <w:pStyle w:val="Normal"/>
        <w:rPr>
          <w:rFonts w:ascii="Times New Roman" w:hAnsi="Times New Roman" w:cs="Times New Roman"/>
          <w:sz w:val="28"/>
          <w:szCs w:val="28"/>
        </w:rPr>
      </w:pPr>
      <w:r>
        <w:rPr>
          <w:rFonts w:cs="Times New Roman" w:ascii="Times New Roman" w:hAnsi="Times New Roman"/>
          <w:sz w:val="28"/>
          <w:szCs w:val="28"/>
        </w:rPr>
      </w:r>
    </w:p>
    <w:tbl>
      <w:tblPr>
        <w:tblStyle w:val="a3"/>
        <w:tblW w:w="7082" w:type="dxa"/>
        <w:jc w:val="left"/>
        <w:tblInd w:w="2263" w:type="dxa"/>
        <w:tblLayout w:type="fixed"/>
        <w:tblCellMar>
          <w:top w:w="0" w:type="dxa"/>
          <w:left w:w="108" w:type="dxa"/>
          <w:bottom w:w="0" w:type="dxa"/>
          <w:right w:w="108" w:type="dxa"/>
        </w:tblCellMar>
        <w:tblLook w:firstRow="1" w:noVBand="1" w:lastRow="0" w:firstColumn="1" w:lastColumn="0" w:noHBand="0" w:val="04a0"/>
      </w:tblPr>
      <w:tblGrid>
        <w:gridCol w:w="7082"/>
      </w:tblGrid>
      <w:tr>
        <w:trPr/>
        <w:tc>
          <w:tcPr>
            <w:tcW w:w="7082" w:type="dxa"/>
            <w:tcBorders>
              <w:top w:val="nil"/>
              <w:left w:val="nil"/>
              <w:bottom w:val="nil"/>
              <w:right w:val="nil"/>
            </w:tcBorders>
          </w:tcPr>
          <w:p>
            <w:pPr>
              <w:pStyle w:val="ConsPlusNormal1"/>
              <w:widowControl w:val="false"/>
              <w:numPr>
                <w:ilvl w:val="0"/>
                <w:numId w:val="0"/>
              </w:numPr>
              <w:suppressAutoHyphens w:val="true"/>
              <w:spacing w:before="0" w:after="0"/>
              <w:ind w:left="0" w:hanging="0"/>
              <w:jc w:val="right"/>
              <w:outlineLvl w:val="2"/>
              <w:rPr>
                <w:rFonts w:ascii="Times New Roman" w:hAnsi="Times New Roman" w:cs="Times New Roman"/>
                <w:sz w:val="28"/>
                <w:szCs w:val="28"/>
              </w:rPr>
            </w:pPr>
            <w:r>
              <w:rPr>
                <w:rFonts w:cs="Times New Roman" w:ascii="Times New Roman" w:hAnsi="Times New Roman"/>
                <w:kern w:val="0"/>
                <w:sz w:val="28"/>
                <w:szCs w:val="28"/>
                <w:lang w:val="ru-RU" w:bidi="ar-SA"/>
              </w:rPr>
              <w:t>Приложение 3</w:t>
            </w:r>
          </w:p>
          <w:p>
            <w:pPr>
              <w:pStyle w:val="ConsPlusNormal1"/>
              <w:widowControl w:val="false"/>
              <w:suppressAutoHyphens w:val="true"/>
              <w:spacing w:before="0" w:after="0"/>
              <w:jc w:val="both"/>
              <w:rPr>
                <w:rFonts w:ascii="Times New Roman" w:hAnsi="Times New Roman" w:cs="Times New Roman"/>
                <w:sz w:val="28"/>
                <w:szCs w:val="28"/>
              </w:rPr>
            </w:pPr>
            <w:r>
              <w:rPr>
                <w:rFonts w:cs="Times New Roman" w:ascii="Times New Roman" w:hAnsi="Times New Roman"/>
                <w:kern w:val="0"/>
                <w:sz w:val="28"/>
                <w:szCs w:val="28"/>
                <w:lang w:val="ru-RU" w:bidi="ar-SA"/>
              </w:rPr>
              <w:t>к Порядку предоставления субсидий на оказание финансовой поддержки при исполнении расходных обязательств муниципальных образований по строительству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jc w:val="center"/>
        <w:rPr>
          <w:rFonts w:ascii="Times New Roman" w:hAnsi="Times New Roman" w:cs="Times New Roman"/>
          <w:sz w:val="28"/>
          <w:szCs w:val="28"/>
        </w:rPr>
      </w:pPr>
      <w:bookmarkStart w:id="5" w:name="P2918"/>
      <w:bookmarkEnd w:id="5"/>
      <w:r>
        <w:rPr>
          <w:rFonts w:cs="Times New Roman" w:ascii="Times New Roman" w:hAnsi="Times New Roman"/>
          <w:sz w:val="28"/>
          <w:szCs w:val="28"/>
        </w:rPr>
        <w:t>БЮДЖЕТНАЯ ЗАЯВКА</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__________________________________________ Брянской области</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(наименование муниципального образования)</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 предоставление субсидии на оказание финансовой поддержки</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при исполнении расходных обязательств муниципальных</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образований по строительству жилого помещения (жилого дома),</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предоставляемого гражданам Российской Федерации, проживающим</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 сельских территориях, по договору найма жилого помещения,</w:t>
      </w:r>
    </w:p>
    <w:p>
      <w:pPr>
        <w:pStyle w:val="ConsPlusNormal1"/>
        <w:jc w:val="center"/>
        <w:rPr>
          <w:rFonts w:ascii="Times New Roman" w:hAnsi="Times New Roman" w:cs="Times New Roman"/>
          <w:sz w:val="28"/>
          <w:szCs w:val="28"/>
        </w:rPr>
      </w:pPr>
      <w:r>
        <w:rPr>
          <w:rFonts w:cs="Times New Roman" w:ascii="Times New Roman" w:hAnsi="Times New Roman"/>
          <w:sz w:val="28"/>
          <w:szCs w:val="28"/>
        </w:rPr>
        <w:t>на 20___ год</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tbl>
      <w:tblPr>
        <w:tblW w:w="9024" w:type="dxa"/>
        <w:jc w:val="left"/>
        <w:tblInd w:w="0" w:type="dxa"/>
        <w:tblLayout w:type="fixed"/>
        <w:tblCellMar>
          <w:top w:w="102" w:type="dxa"/>
          <w:left w:w="62" w:type="dxa"/>
          <w:bottom w:w="102" w:type="dxa"/>
          <w:right w:w="62" w:type="dxa"/>
        </w:tblCellMar>
        <w:tblLook w:firstRow="0" w:noVBand="0" w:lastRow="0" w:firstColumn="0" w:lastColumn="0" w:noHBand="0" w:val="0000"/>
      </w:tblPr>
      <w:tblGrid>
        <w:gridCol w:w="453"/>
        <w:gridCol w:w="1930"/>
        <w:gridCol w:w="1870"/>
        <w:gridCol w:w="1303"/>
        <w:gridCol w:w="2099"/>
        <w:gridCol w:w="1368"/>
      </w:tblGrid>
      <w:tr>
        <w:trPr/>
        <w:tc>
          <w:tcPr>
            <w:tcW w:w="45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N п/п</w:t>
            </w:r>
          </w:p>
        </w:tc>
        <w:tc>
          <w:tcPr>
            <w:tcW w:w="193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Запрашиваемый объем субсидий из федерального бюджета, тыс. руб.</w:t>
            </w:r>
          </w:p>
        </w:tc>
        <w:tc>
          <w:tcPr>
            <w:tcW w:w="187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Запрашиваемый объем субсидий из областного бюджета, тыс. руб.</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Объем средств местных бюджетов, тыс. руб.</w:t>
            </w:r>
          </w:p>
        </w:tc>
        <w:tc>
          <w:tcPr>
            <w:tcW w:w="20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Объем средств внебюджетных источников (средства работодателя), тыс. руб.</w:t>
            </w:r>
          </w:p>
        </w:tc>
        <w:tc>
          <w:tcPr>
            <w:tcW w:w="136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Значение целевого индикатора, кв. м</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193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2</w:t>
            </w:r>
          </w:p>
        </w:tc>
        <w:tc>
          <w:tcPr>
            <w:tcW w:w="187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4</w:t>
            </w:r>
          </w:p>
        </w:tc>
        <w:tc>
          <w:tcPr>
            <w:tcW w:w="20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5</w:t>
            </w:r>
          </w:p>
        </w:tc>
        <w:tc>
          <w:tcPr>
            <w:tcW w:w="136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6</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28"/>
                <w:szCs w:val="28"/>
              </w:rPr>
            </w:pPr>
            <w:r>
              <w:rPr>
                <w:rFonts w:cs="Times New Roman" w:ascii="Times New Roman" w:hAnsi="Times New Roman"/>
                <w:sz w:val="28"/>
                <w:szCs w:val="28"/>
              </w:rPr>
              <w:t>1.</w:t>
            </w:r>
          </w:p>
        </w:tc>
        <w:tc>
          <w:tcPr>
            <w:tcW w:w="193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87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209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c>
          <w:tcPr>
            <w:tcW w:w="1368"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28"/>
                <w:szCs w:val="28"/>
              </w:rPr>
            </w:pPr>
            <w:r>
              <w:rPr>
                <w:rFonts w:cs="Times New Roman" w:ascii="Times New Roman" w:hAnsi="Times New Roman"/>
                <w:sz w:val="28"/>
                <w:szCs w:val="28"/>
              </w:rPr>
            </w:r>
          </w:p>
        </w:tc>
      </w:tr>
    </w:tbl>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Глава администрации муниципального образования  ___________  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Ф.И.О.</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М.П.           (подпись)</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 _________________ 20_____ года</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Исполнитель: Ф.И.О., должность, телефон</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numPr>
          <w:ilvl w:val="0"/>
          <w:numId w:val="0"/>
        </w:numPr>
        <w:ind w:left="0" w:hanging="0"/>
        <w:outlineLvl w:val="1"/>
        <w:rPr>
          <w:rFonts w:ascii="Times New Roman" w:hAnsi="Times New Roman" w:cs="Times New Roman"/>
          <w:sz w:val="24"/>
          <w:szCs w:val="24"/>
        </w:rPr>
      </w:pPr>
      <w:r>
        <w:rPr>
          <w:rFonts w:cs="Times New Roman" w:ascii="Times New Roman" w:hAnsi="Times New Roman"/>
          <w:sz w:val="24"/>
          <w:szCs w:val="24"/>
        </w:rPr>
      </w:r>
    </w:p>
    <w:p>
      <w:pPr>
        <w:pStyle w:val="Normal"/>
        <w:spacing w:before="0" w:after="200"/>
        <w:rPr>
          <w:rFonts w:ascii="Times New Roman" w:hAnsi="Times New Roman" w:cs="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Courier New">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c09da"/>
    <w:pPr>
      <w:widowControl/>
      <w:suppressAutoHyphens w:val="true"/>
      <w:bidi w:val="0"/>
      <w:spacing w:lineRule="auto" w:line="276" w:before="0" w:after="200"/>
      <w:jc w:val="left"/>
    </w:pPr>
    <w:rPr>
      <w:rFonts w:ascii="Calibri" w:hAnsi="Calibri" w:eastAsia="" w:cs="" w:eastAsiaTheme="minorEastAsia"/>
      <w:color w:val="auto"/>
      <w:kern w:val="0"/>
      <w:sz w:val="22"/>
      <w:szCs w:val="22"/>
      <w:lang w:val="ru-RU" w:eastAsia="ru-RU" w:bidi="ar-SA"/>
    </w:rPr>
  </w:style>
  <w:style w:type="paragraph" w:styleId="1">
    <w:name w:val="Heading 1"/>
    <w:basedOn w:val="Normal"/>
    <w:next w:val="Normal"/>
    <w:link w:val="10"/>
    <w:qFormat/>
    <w:rsid w:val="00833c70"/>
    <w:pPr>
      <w:keepNext w:val="true"/>
      <w:spacing w:lineRule="auto" w:line="240" w:before="0" w:after="0"/>
      <w:jc w:val="both"/>
      <w:outlineLvl w:val="0"/>
    </w:pPr>
    <w:rPr>
      <w:rFonts w:ascii="Times New Roman" w:hAnsi="Times New Roman" w:eastAsia="Times New Roman" w:cs="Times New Roman"/>
      <w:sz w:val="28"/>
      <w:szCs w:val="24"/>
    </w:rPr>
  </w:style>
  <w:style w:type="character" w:styleId="DefaultParagraphFont" w:default="1">
    <w:name w:val="Default Paragraph Font"/>
    <w:uiPriority w:val="1"/>
    <w:semiHidden/>
    <w:unhideWhenUsed/>
    <w:qFormat/>
    <w:rPr/>
  </w:style>
  <w:style w:type="character" w:styleId="ConsPlusNormal" w:customStyle="1">
    <w:name w:val="ConsPlusNormal Знак"/>
    <w:link w:val="ConsPlusNormal"/>
    <w:qFormat/>
    <w:locked/>
    <w:rsid w:val="005c09da"/>
    <w:rPr>
      <w:rFonts w:ascii="Calibri" w:hAnsi="Calibri" w:eastAsia="Times New Roman" w:cs="Calibri"/>
      <w:szCs w:val="20"/>
      <w:lang w:eastAsia="ru-RU"/>
    </w:rPr>
  </w:style>
  <w:style w:type="character" w:styleId="Style13" w:customStyle="1">
    <w:name w:val="Текст выноски Знак"/>
    <w:basedOn w:val="DefaultParagraphFont"/>
    <w:link w:val="a4"/>
    <w:uiPriority w:val="99"/>
    <w:semiHidden/>
    <w:qFormat/>
    <w:rsid w:val="00427542"/>
    <w:rPr>
      <w:rFonts w:ascii="Tahoma" w:hAnsi="Tahoma" w:eastAsia="" w:cs="Tahoma" w:eastAsiaTheme="minorEastAsia"/>
      <w:sz w:val="16"/>
      <w:szCs w:val="16"/>
      <w:lang w:eastAsia="ru-RU"/>
    </w:rPr>
  </w:style>
  <w:style w:type="character" w:styleId="11" w:customStyle="1">
    <w:name w:val="Заголовок 1 Знак"/>
    <w:basedOn w:val="DefaultParagraphFont"/>
    <w:link w:val="1"/>
    <w:qFormat/>
    <w:rsid w:val="00833c70"/>
    <w:rPr>
      <w:rFonts w:ascii="Times New Roman" w:hAnsi="Times New Roman" w:eastAsia="Times New Roman" w:cs="Times New Roman"/>
      <w:sz w:val="28"/>
      <w:szCs w:val="24"/>
      <w:lang w:eastAsia="ru-RU"/>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ConsPlusNormal1" w:customStyle="1">
    <w:name w:val="ConsPlusNormal"/>
    <w:link w:val="ConsPlusNormal0"/>
    <w:qFormat/>
    <w:rsid w:val="005c09da"/>
    <w:pPr>
      <w:widowControl w:val="false"/>
      <w:suppressAutoHyphens w:val="tru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Nonformat" w:customStyle="1">
    <w:name w:val="ConsPlusNonformat"/>
    <w:qFormat/>
    <w:rsid w:val="005c09da"/>
    <w:pPr>
      <w:widowControl w:val="false"/>
      <w:suppressAutoHyphens w:val="tru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ConsPlusTitle" w:customStyle="1">
    <w:name w:val="ConsPlusTitle"/>
    <w:qFormat/>
    <w:rsid w:val="005c09da"/>
    <w:pPr>
      <w:widowControl w:val="false"/>
      <w:suppressAutoHyphens w:val="tru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BalloonText">
    <w:name w:val="Balloon Text"/>
    <w:basedOn w:val="Normal"/>
    <w:link w:val="a5"/>
    <w:uiPriority w:val="99"/>
    <w:semiHidden/>
    <w:unhideWhenUsed/>
    <w:qFormat/>
    <w:rsid w:val="00427542"/>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5c09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A50A344230FE33EC20D93303C92999FC75C195F976639100293BBCCC9EC5CC2617310F10C45A03CC39420BFBAA581A51EF82647145DEA30919o8N" TargetMode="External"/><Relationship Id="rId3" Type="http://schemas.openxmlformats.org/officeDocument/2006/relationships/hyperlink" Target="consultantplus://offline/ref=A50A344230FE33EC20D92D0EDF45C5F177CFCCF3716E9B537C64E791C9CCC671507E5652805701CD3D495EABE5594617B891667A45DCAA159A6C0911o9N" TargetMode="External"/><Relationship Id="rId4" Type="http://schemas.openxmlformats.org/officeDocument/2006/relationships/hyperlink" Target="consultantplus://offline/ref=A50A344230FE33EC20D92D0EDF45C5F177CFCCF372649F517464E791C9CCC671507E5640800F0DCF3F575FA3F00F17511EoDN" TargetMode="External"/><Relationship Id="rId5" Type="http://schemas.openxmlformats.org/officeDocument/2006/relationships/hyperlink" Target="consultantplus://offline/ref=A50A344230FE33EC20D92D0EDF45C5F177CFCCF3726798507064E791C9CCC671507E5652805701CD3D485FAEE5594617B891667A45DCAA159A6C0911o9N"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LibreOffice/7.0.1.2$Windows_X86_64 LibreOffice_project/7cbcfc562f6eb6708b5ff7d7397325de9e764452</Application>
  <Pages>13</Pages>
  <Words>2640</Words>
  <Characters>21852</Characters>
  <CharactersWithSpaces>25340</CharactersWithSpaces>
  <Paragraphs>239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2021-10-25T11:10:00Z</dcterms:created>
  <dc:creator>user</dc:creator>
  <dc:description/>
  <dc:language>ru-RU</dc:language>
  <cp:lastModifiedBy/>
  <cp:lastPrinted>2020-12-16T13:32:00Z</cp:lastPrinted>
  <dcterms:modified xsi:type="dcterms:W3CDTF">2021-10-25T15:03:07Z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